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F2" w:rsidRDefault="000A292F" w:rsidP="00B20896">
      <w:pPr>
        <w:pStyle w:val="a3"/>
        <w:spacing w:before="0" w:after="160" w:line="252" w:lineRule="auto"/>
        <w:ind w:left="0"/>
        <w:contextualSpacing/>
        <w:jc w:val="center"/>
        <w:rPr>
          <w:b/>
        </w:rPr>
      </w:pPr>
      <w:r>
        <w:rPr>
          <w:b/>
        </w:rPr>
        <w:t xml:space="preserve">Основные условия участия </w:t>
      </w:r>
    </w:p>
    <w:p w:rsidR="00B20896" w:rsidRDefault="000A292F" w:rsidP="00B20896">
      <w:pPr>
        <w:pStyle w:val="a3"/>
        <w:spacing w:before="0" w:after="160" w:line="252" w:lineRule="auto"/>
        <w:ind w:left="0"/>
        <w:contextualSpacing/>
        <w:jc w:val="center"/>
        <w:rPr>
          <w:b/>
        </w:rPr>
      </w:pPr>
      <w:r>
        <w:rPr>
          <w:b/>
        </w:rPr>
        <w:t>в</w:t>
      </w:r>
      <w:r w:rsidR="00B20896" w:rsidRPr="00B77660">
        <w:rPr>
          <w:b/>
        </w:rPr>
        <w:t xml:space="preserve"> </w:t>
      </w:r>
      <w:r w:rsidR="00BC57F2">
        <w:rPr>
          <w:b/>
        </w:rPr>
        <w:t>предквалификационном отборе поставщиков (ПКО)</w:t>
      </w:r>
    </w:p>
    <w:p w:rsidR="00EE3F41" w:rsidRDefault="00EE3F41" w:rsidP="00EE3F41">
      <w:pPr>
        <w:pStyle w:val="1"/>
        <w:numPr>
          <w:ilvl w:val="0"/>
          <w:numId w:val="10"/>
        </w:numPr>
        <w:tabs>
          <w:tab w:val="left" w:pos="1134"/>
        </w:tabs>
        <w:spacing w:line="276" w:lineRule="auto"/>
        <w:ind w:left="0" w:firstLine="709"/>
        <w:textAlignment w:val="auto"/>
        <w:rPr>
          <w:sz w:val="24"/>
        </w:rPr>
      </w:pPr>
      <w:bookmarkStart w:id="0" w:name="_Toc177978849"/>
      <w:r>
        <w:rPr>
          <w:b w:val="0"/>
          <w:bCs w:val="0"/>
          <w:sz w:val="24"/>
        </w:rPr>
        <w:t>Обязательные требования к участнику закупки</w:t>
      </w:r>
      <w:bookmarkEnd w:id="0"/>
    </w:p>
    <w:p w:rsidR="00EE3F41" w:rsidRDefault="00EE3F41" w:rsidP="00EE3F41">
      <w:pPr>
        <w:pStyle w:val="S00"/>
        <w:numPr>
          <w:ilvl w:val="0"/>
          <w:numId w:val="11"/>
        </w:numPr>
        <w:tabs>
          <w:tab w:val="left" w:pos="1134"/>
          <w:tab w:val="left" w:pos="1276"/>
        </w:tabs>
        <w:spacing w:before="120" w:after="120"/>
        <w:ind w:left="0" w:firstLine="709"/>
        <w:textAlignment w:val="auto"/>
      </w:pPr>
      <w:r>
        <w:t>Наличие необходимой инфраструктур</w:t>
      </w:r>
      <w:r w:rsidR="00BC57F2">
        <w:t>ы</w:t>
      </w:r>
      <w:r>
        <w:t>, трудовых и материальных ресурсов, а также других возможностей для исполнения принимаемых на себя обязательств.</w:t>
      </w:r>
    </w:p>
    <w:p w:rsidR="00EE3F41" w:rsidRDefault="00EE3F41" w:rsidP="00EE3F41">
      <w:pPr>
        <w:pStyle w:val="S00"/>
        <w:numPr>
          <w:ilvl w:val="0"/>
          <w:numId w:val="11"/>
        </w:numPr>
        <w:tabs>
          <w:tab w:val="left" w:pos="1134"/>
          <w:tab w:val="left" w:pos="1276"/>
        </w:tabs>
        <w:spacing w:before="120" w:after="120"/>
        <w:ind w:left="0" w:firstLine="709"/>
        <w:textAlignment w:val="auto"/>
      </w:pPr>
      <w:r>
        <w:t>Наличие опыта работы в заявленной сфере не менее 2-х лет. В исключительных случаях к закупке могут быть допущены поставщики, имеющие опыт работы в заявленной сфере менее 2-х лет (в случаях отсутствия конкурентной среды и/или при наличии положительного опыта работы, при условии 100% оплаты по факту выполнения работ/оказания услуг).</w:t>
      </w:r>
    </w:p>
    <w:p w:rsidR="00EE3F41" w:rsidRDefault="00EE3F41" w:rsidP="00EE3F41">
      <w:pPr>
        <w:pStyle w:val="a3"/>
        <w:numPr>
          <w:ilvl w:val="0"/>
          <w:numId w:val="11"/>
        </w:numPr>
        <w:tabs>
          <w:tab w:val="left" w:pos="1134"/>
          <w:tab w:val="left" w:pos="1276"/>
        </w:tabs>
        <w:spacing w:before="120" w:after="120"/>
        <w:ind w:left="0" w:firstLine="709"/>
      </w:pPr>
      <w:r>
        <w:t>Соответствие требованиям, устанавливаемым законодательством РФ к лицам, осуществляющим выполнение работ/оказание услуг, являющихся предметом закупки.</w:t>
      </w:r>
    </w:p>
    <w:p w:rsidR="00EE3F41" w:rsidRDefault="00EE3F41" w:rsidP="00EE3F41">
      <w:pPr>
        <w:pStyle w:val="S00"/>
        <w:numPr>
          <w:ilvl w:val="0"/>
          <w:numId w:val="11"/>
        </w:numPr>
        <w:tabs>
          <w:tab w:val="left" w:pos="1134"/>
          <w:tab w:val="left" w:pos="1276"/>
        </w:tabs>
        <w:spacing w:before="120" w:after="120"/>
        <w:ind w:left="0" w:firstLine="709"/>
        <w:textAlignment w:val="auto"/>
      </w:pPr>
      <w:r>
        <w:t xml:space="preserve"> Обладание гражданской </w:t>
      </w:r>
      <w:proofErr w:type="spellStart"/>
      <w:r>
        <w:t>правосубъектностью</w:t>
      </w:r>
      <w:proofErr w:type="spellEnd"/>
      <w:r>
        <w:t xml:space="preserve"> для заключения договора.</w:t>
      </w:r>
    </w:p>
    <w:p w:rsidR="00EE3F41" w:rsidRDefault="00EE3F41" w:rsidP="00EE3F41">
      <w:pPr>
        <w:pStyle w:val="1"/>
        <w:numPr>
          <w:ilvl w:val="0"/>
          <w:numId w:val="10"/>
        </w:numPr>
        <w:tabs>
          <w:tab w:val="left" w:pos="1134"/>
        </w:tabs>
        <w:spacing w:line="276" w:lineRule="auto"/>
        <w:ind w:left="0" w:firstLine="709"/>
        <w:textAlignment w:val="auto"/>
        <w:rPr>
          <w:sz w:val="24"/>
        </w:rPr>
      </w:pPr>
      <w:bookmarkStart w:id="1" w:name="_Toc177978851"/>
      <w:r>
        <w:rPr>
          <w:b w:val="0"/>
          <w:bCs w:val="0"/>
          <w:sz w:val="24"/>
        </w:rPr>
        <w:t>Обязательные условия подачи предложений</w:t>
      </w:r>
      <w:bookmarkEnd w:id="1"/>
      <w:r>
        <w:rPr>
          <w:b w:val="0"/>
          <w:bCs w:val="0"/>
          <w:sz w:val="24"/>
        </w:rPr>
        <w:t xml:space="preserve"> </w:t>
      </w:r>
    </w:p>
    <w:p w:rsidR="00EE3F41" w:rsidRDefault="00EE3F41" w:rsidP="00EE3F41">
      <w:pPr>
        <w:tabs>
          <w:tab w:val="left" w:pos="1134"/>
          <w:tab w:val="left" w:pos="1276"/>
        </w:tabs>
        <w:ind w:left="0" w:firstLine="709"/>
      </w:pPr>
      <w:r>
        <w:t xml:space="preserve">Заявки </w:t>
      </w:r>
      <w:r w:rsidR="004B0C3A">
        <w:t xml:space="preserve">на участие в процедуре ПКО </w:t>
      </w:r>
      <w:r>
        <w:t>от участников принимаются исключительно на ЭТП.</w:t>
      </w:r>
    </w:p>
    <w:p w:rsidR="00EE3F41" w:rsidRDefault="00EE3F41" w:rsidP="00EE3F41">
      <w:pPr>
        <w:pStyle w:val="S00"/>
        <w:tabs>
          <w:tab w:val="left" w:pos="1134"/>
          <w:tab w:val="left" w:pos="1276"/>
        </w:tabs>
        <w:spacing w:before="120" w:after="120"/>
        <w:ind w:left="0" w:firstLine="709"/>
      </w:pPr>
      <w:r>
        <w:t>Предложение должно содержать:</w:t>
      </w:r>
    </w:p>
    <w:p w:rsidR="00EE3F41" w:rsidRDefault="004B0C3A" w:rsidP="00EE3F41">
      <w:pPr>
        <w:pStyle w:val="a3"/>
        <w:widowControl w:val="0"/>
        <w:numPr>
          <w:ilvl w:val="0"/>
          <w:numId w:val="14"/>
        </w:numPr>
        <w:shd w:val="clear" w:color="auto" w:fill="FFFFFF"/>
        <w:tabs>
          <w:tab w:val="left" w:pos="1134"/>
          <w:tab w:val="left" w:leader="underscore" w:pos="5837"/>
        </w:tabs>
        <w:autoSpaceDE w:val="0"/>
        <w:autoSpaceDN w:val="0"/>
        <w:adjustRightInd w:val="0"/>
        <w:spacing w:before="0" w:line="276" w:lineRule="auto"/>
        <w:ind w:left="0" w:right="-1" w:firstLine="709"/>
        <w:rPr>
          <w:spacing w:val="-2"/>
        </w:rPr>
      </w:pPr>
      <w:r>
        <w:rPr>
          <w:spacing w:val="-2"/>
        </w:rPr>
        <w:t xml:space="preserve">Заполненную форму Заявки на участие в процедуре ПКО </w:t>
      </w:r>
      <w:r w:rsidR="00EE3F41">
        <w:rPr>
          <w:spacing w:val="-2"/>
        </w:rPr>
        <w:t xml:space="preserve">в редактируемом формате </w:t>
      </w:r>
      <w:r w:rsidR="00EE3F41">
        <w:rPr>
          <w:spacing w:val="-2"/>
          <w:lang w:val="en-US"/>
        </w:rPr>
        <w:t>Excel</w:t>
      </w:r>
      <w:r w:rsidR="00EE3F41">
        <w:rPr>
          <w:spacing w:val="-2"/>
        </w:rPr>
        <w:t xml:space="preserve"> и формате </w:t>
      </w:r>
      <w:r w:rsidR="00EE3F41">
        <w:rPr>
          <w:spacing w:val="-2"/>
          <w:lang w:val="en-US"/>
        </w:rPr>
        <w:t>PDF</w:t>
      </w:r>
      <w:r w:rsidR="00EE3F41">
        <w:rPr>
          <w:spacing w:val="-2"/>
        </w:rPr>
        <w:t xml:space="preserve"> с подписью руководителя и печатью (по форме, прилагаемой к закупочной документации);</w:t>
      </w:r>
      <w:bookmarkStart w:id="2" w:name="_GoBack"/>
      <w:bookmarkEnd w:id="2"/>
    </w:p>
    <w:p w:rsidR="00EE3F41" w:rsidRDefault="00EE3F41" w:rsidP="00EE3F41">
      <w:pPr>
        <w:pStyle w:val="a3"/>
        <w:widowControl w:val="0"/>
        <w:numPr>
          <w:ilvl w:val="0"/>
          <w:numId w:val="14"/>
        </w:numPr>
        <w:shd w:val="clear" w:color="auto" w:fill="FFFFFF"/>
        <w:tabs>
          <w:tab w:val="left" w:pos="1134"/>
          <w:tab w:val="left" w:leader="underscore" w:pos="5837"/>
        </w:tabs>
        <w:autoSpaceDE w:val="0"/>
        <w:autoSpaceDN w:val="0"/>
        <w:adjustRightInd w:val="0"/>
        <w:spacing w:before="0" w:line="276" w:lineRule="auto"/>
        <w:ind w:left="0" w:right="-1" w:firstLine="709"/>
        <w:rPr>
          <w:spacing w:val="-2"/>
        </w:rPr>
      </w:pPr>
      <w:r>
        <w:t>информацию о располагаемой инфраструктуре, о трудовых и материальных ресурсах, необходимых для исполнения принимаемых на себя обязательств (указывается какие производственные площади, склады предполагается задействовать, какую спецтехнику (с приложением ПТС), квалифицированный персонал (с приложением удостоверений, подтверждающих необходимую для данной работы квалификацию), субподрядные организации и т.п.</w:t>
      </w:r>
      <w:r>
        <w:rPr>
          <w:spacing w:val="-2"/>
        </w:rPr>
        <w:t>;</w:t>
      </w:r>
    </w:p>
    <w:p w:rsidR="00EE3F41" w:rsidRDefault="00EE3F41" w:rsidP="00EE3F41">
      <w:pPr>
        <w:pStyle w:val="a3"/>
        <w:widowControl w:val="0"/>
        <w:numPr>
          <w:ilvl w:val="0"/>
          <w:numId w:val="14"/>
        </w:numPr>
        <w:shd w:val="clear" w:color="auto" w:fill="FFFFFF"/>
        <w:tabs>
          <w:tab w:val="left" w:pos="1134"/>
          <w:tab w:val="left" w:leader="underscore" w:pos="5837"/>
        </w:tabs>
        <w:autoSpaceDE w:val="0"/>
        <w:autoSpaceDN w:val="0"/>
        <w:adjustRightInd w:val="0"/>
        <w:spacing w:before="0" w:line="276" w:lineRule="auto"/>
        <w:ind w:left="0" w:right="-1" w:firstLine="709"/>
        <w:rPr>
          <w:spacing w:val="-2"/>
        </w:rPr>
      </w:pPr>
      <w:r>
        <w:rPr>
          <w:spacing w:val="-2"/>
        </w:rPr>
        <w:t>копии разрешительной документации на осуществляемые виды работ/услуг (свидетельства СРО, лицензии, если осуществляемые работы/услуги подлежат лицензированию, согласно законодательству РФ, согласно ТЗ);</w:t>
      </w:r>
    </w:p>
    <w:p w:rsidR="004B0C3A" w:rsidRDefault="004B0C3A" w:rsidP="004B0C3A">
      <w:pPr>
        <w:pStyle w:val="a3"/>
        <w:widowControl w:val="0"/>
        <w:numPr>
          <w:ilvl w:val="0"/>
          <w:numId w:val="14"/>
        </w:numPr>
        <w:shd w:val="clear" w:color="auto" w:fill="FFFFFF"/>
        <w:tabs>
          <w:tab w:val="left" w:pos="1134"/>
          <w:tab w:val="left" w:leader="underscore" w:pos="5837"/>
        </w:tabs>
        <w:autoSpaceDE w:val="0"/>
        <w:autoSpaceDN w:val="0"/>
        <w:adjustRightInd w:val="0"/>
        <w:spacing w:before="0" w:line="276" w:lineRule="auto"/>
        <w:ind w:left="0" w:right="-1" w:firstLine="709"/>
      </w:pPr>
      <w:bookmarkStart w:id="3" w:name="_Toc49429552"/>
      <w:r>
        <w:t xml:space="preserve">карточку контрагента с указанием реквизитов, ИНН, юридического и почтового адреса, контактов, </w:t>
      </w:r>
      <w:r>
        <w:t>адреса электронной почты и т.п.</w:t>
      </w:r>
    </w:p>
    <w:bookmarkEnd w:id="3"/>
    <w:p w:rsidR="00EE3F41" w:rsidRDefault="00EE3F41" w:rsidP="00EE3F41">
      <w:pPr>
        <w:widowControl w:val="0"/>
        <w:shd w:val="clear" w:color="auto" w:fill="FFFFFF"/>
        <w:tabs>
          <w:tab w:val="left" w:pos="1134"/>
          <w:tab w:val="left" w:leader="underscore" w:pos="5837"/>
        </w:tabs>
        <w:autoSpaceDE w:val="0"/>
        <w:autoSpaceDN w:val="0"/>
        <w:adjustRightInd w:val="0"/>
        <w:spacing w:before="0" w:line="276" w:lineRule="auto"/>
        <w:ind w:left="0" w:right="-1" w:firstLine="709"/>
        <w:rPr>
          <w:sz w:val="20"/>
          <w:szCs w:val="20"/>
        </w:rPr>
      </w:pPr>
      <w:r>
        <w:rPr>
          <w:spacing w:val="-2"/>
          <w:sz w:val="20"/>
          <w:szCs w:val="20"/>
        </w:rPr>
        <w:t xml:space="preserve">Примечание: </w:t>
      </w:r>
      <w:r>
        <w:rPr>
          <w:sz w:val="20"/>
          <w:szCs w:val="20"/>
        </w:rPr>
        <w:t>Сведения, указанные Участником при заполнении соответствующих форм в интерфейсе Системы, не должны противоречить сведениям, указанным данным Участником в документах, загруженных в Систему в качестве заявки на участие в процедуре.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 При выявлении противоречия, заявка Участника будет отклонена Организатором от рассмотрения. В дальнейшем, Организатор оставляет за собой право, для участника, допустившего противоречие установить запрет на участие в последующих закупках Организатора на определенный период или бессрочно."</w:t>
      </w:r>
    </w:p>
    <w:p w:rsidR="00EE3F41" w:rsidRDefault="00EE3F41" w:rsidP="00EE3F41">
      <w:pPr>
        <w:pStyle w:val="1"/>
        <w:numPr>
          <w:ilvl w:val="0"/>
          <w:numId w:val="10"/>
        </w:numPr>
        <w:tabs>
          <w:tab w:val="left" w:pos="1134"/>
        </w:tabs>
        <w:spacing w:line="276" w:lineRule="auto"/>
        <w:ind w:left="0" w:firstLine="709"/>
        <w:textAlignment w:val="auto"/>
        <w:rPr>
          <w:sz w:val="24"/>
        </w:rPr>
      </w:pPr>
      <w:bookmarkStart w:id="4" w:name="_Toc177978852"/>
      <w:r>
        <w:rPr>
          <w:b w:val="0"/>
          <w:bCs w:val="0"/>
          <w:sz w:val="24"/>
        </w:rPr>
        <w:t>Дополнительная информация</w:t>
      </w:r>
      <w:bookmarkEnd w:id="4"/>
    </w:p>
    <w:p w:rsidR="00EE3F41" w:rsidRDefault="00EE3F41" w:rsidP="00EE3F41">
      <w:pPr>
        <w:tabs>
          <w:tab w:val="left" w:pos="1134"/>
        </w:tabs>
        <w:spacing w:before="120" w:after="120"/>
        <w:ind w:left="0" w:firstLine="709"/>
      </w:pPr>
      <w:r>
        <w:t>Настоящая тендерная процедура не является офертой, аукционом или конкурсом, и её проведение не регулируется ст. 447-449 ч. 1 и 1057-1061 ч. 2 ГК РФ. Указанная процедура не накладывает на АО «НефтеХимСервис» каких-либо гражданско-правовых обязательств и оставляет за АО «НефтеХимСервис» право отказаться от всех полученных Предложений по любой причине или прекратить процедуру отбора в любой момент без объяснения причин, не неся при этом никакой ответственности перед Участниками тендера.</w:t>
      </w:r>
    </w:p>
    <w:p w:rsidR="00EE3F41" w:rsidRDefault="00EE3F41" w:rsidP="00EE3F41">
      <w:pPr>
        <w:spacing w:before="120" w:after="120"/>
        <w:ind w:left="0" w:firstLine="709"/>
      </w:pPr>
      <w:r>
        <w:lastRenderedPageBreak/>
        <w:t xml:space="preserve">Вопросы, касающиеся предмета закупки необходимо размещать во вкладке «Вопросы» торговой процедуры. </w:t>
      </w:r>
    </w:p>
    <w:p w:rsidR="00EE3F41" w:rsidRDefault="00EE3F41" w:rsidP="00EE3F41">
      <w:pPr>
        <w:spacing w:before="120" w:after="120"/>
        <w:ind w:left="0" w:firstLine="709"/>
      </w:pPr>
      <w:r>
        <w:t>По вопросам относительно работы на ЭТП звонить по номеру +7(495) 532-85-19, доб. 7610, 7620; 8 800 555-85-19.</w:t>
      </w:r>
    </w:p>
    <w:p w:rsidR="00EE3F41" w:rsidRDefault="00EE3F41" w:rsidP="00EE3F41">
      <w:pPr>
        <w:spacing w:before="120" w:after="120"/>
        <w:ind w:left="0" w:firstLine="709"/>
      </w:pPr>
    </w:p>
    <w:p w:rsidR="00EE3F41" w:rsidRDefault="00EE3F41" w:rsidP="00EE3F41">
      <w:pPr>
        <w:tabs>
          <w:tab w:val="left" w:pos="1134"/>
        </w:tabs>
        <w:spacing w:before="120" w:after="120"/>
        <w:ind w:left="0" w:firstLine="709"/>
      </w:pPr>
    </w:p>
    <w:p w:rsidR="005162D4" w:rsidRDefault="005162D4" w:rsidP="00B20896">
      <w:pPr>
        <w:tabs>
          <w:tab w:val="left" w:pos="1134"/>
        </w:tabs>
        <w:ind w:left="0" w:firstLine="709"/>
      </w:pPr>
    </w:p>
    <w:sectPr w:rsidR="005162D4" w:rsidSect="00B208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AC8"/>
    <w:multiLevelType w:val="multilevel"/>
    <w:tmpl w:val="737CD250"/>
    <w:lvl w:ilvl="0">
      <w:start w:val="1"/>
      <w:numFmt w:val="decimal"/>
      <w:lvlText w:val="%1."/>
      <w:lvlJc w:val="left"/>
      <w:pPr>
        <w:ind w:left="6314" w:hanging="360"/>
      </w:pPr>
      <w:rPr>
        <w:rFonts w:hint="default"/>
        <w:b/>
      </w:rPr>
    </w:lvl>
    <w:lvl w:ilvl="1">
      <w:start w:val="1"/>
      <w:numFmt w:val="decimal"/>
      <w:isLgl/>
      <w:lvlText w:val="%1.%2."/>
      <w:lvlJc w:val="left"/>
      <w:pPr>
        <w:ind w:left="928" w:hanging="360"/>
      </w:pPr>
      <w:rPr>
        <w:rFonts w:hint="default"/>
        <w:b w:val="0"/>
        <w:color w:val="auto"/>
        <w:sz w:val="24"/>
        <w:szCs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color w:val="000000" w:themeColor="text1"/>
      </w:rPr>
    </w:lvl>
    <w:lvl w:ilvl="5">
      <w:start w:val="1"/>
      <w:numFmt w:val="bullet"/>
      <w:lvlText w:val="˗"/>
      <w:lvlJc w:val="left"/>
      <w:pPr>
        <w:ind w:left="3491" w:hanging="1080"/>
      </w:pPr>
      <w:rPr>
        <w:rFonts w:ascii="Times New Roman" w:hAnsi="Times New Roman" w:cs="Times New Roman" w:hint="default"/>
        <w:b w:val="0"/>
        <w:i w:val="0"/>
        <w:sz w:val="24"/>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AF80803"/>
    <w:multiLevelType w:val="hybridMultilevel"/>
    <w:tmpl w:val="A81256E0"/>
    <w:lvl w:ilvl="0" w:tplc="5B0A1802">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A94CA2"/>
    <w:multiLevelType w:val="multilevel"/>
    <w:tmpl w:val="737CD250"/>
    <w:lvl w:ilvl="0">
      <w:start w:val="1"/>
      <w:numFmt w:val="decimal"/>
      <w:lvlText w:val="%1."/>
      <w:lvlJc w:val="left"/>
      <w:pPr>
        <w:ind w:left="6314" w:hanging="360"/>
      </w:pPr>
      <w:rPr>
        <w:rFonts w:hint="default"/>
        <w:b/>
      </w:rPr>
    </w:lvl>
    <w:lvl w:ilvl="1">
      <w:start w:val="1"/>
      <w:numFmt w:val="decimal"/>
      <w:isLgl/>
      <w:lvlText w:val="%1.%2."/>
      <w:lvlJc w:val="left"/>
      <w:pPr>
        <w:ind w:left="928" w:hanging="360"/>
      </w:pPr>
      <w:rPr>
        <w:rFonts w:hint="default"/>
        <w:b w:val="0"/>
        <w:color w:val="auto"/>
        <w:sz w:val="24"/>
        <w:szCs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color w:val="000000" w:themeColor="text1"/>
      </w:rPr>
    </w:lvl>
    <w:lvl w:ilvl="5">
      <w:start w:val="1"/>
      <w:numFmt w:val="bullet"/>
      <w:lvlText w:val="˗"/>
      <w:lvlJc w:val="left"/>
      <w:pPr>
        <w:ind w:left="3491" w:hanging="1080"/>
      </w:pPr>
      <w:rPr>
        <w:rFonts w:ascii="Times New Roman" w:hAnsi="Times New Roman" w:cs="Times New Roman" w:hint="default"/>
        <w:b w:val="0"/>
        <w:i w:val="0"/>
        <w:sz w:val="24"/>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53B762E5"/>
    <w:multiLevelType w:val="multilevel"/>
    <w:tmpl w:val="47F855F6"/>
    <w:lvl w:ilvl="0">
      <w:start w:val="1"/>
      <w:numFmt w:val="decimal"/>
      <w:lvlText w:val="%1."/>
      <w:lvlJc w:val="left"/>
      <w:pPr>
        <w:ind w:left="6314" w:hanging="360"/>
      </w:pPr>
      <w:rPr>
        <w:rFonts w:hint="default"/>
        <w:b/>
      </w:rPr>
    </w:lvl>
    <w:lvl w:ilvl="1">
      <w:start w:val="1"/>
      <w:numFmt w:val="decimal"/>
      <w:isLgl/>
      <w:lvlText w:val="%1.%2."/>
      <w:lvlJc w:val="left"/>
      <w:pPr>
        <w:ind w:left="928" w:hanging="360"/>
      </w:pPr>
      <w:rPr>
        <w:rFonts w:hint="default"/>
        <w:b w:val="0"/>
        <w:color w:val="auto"/>
        <w:sz w:val="24"/>
        <w:szCs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color w:val="000000" w:themeColor="text1"/>
      </w:rPr>
    </w:lvl>
    <w:lvl w:ilvl="5">
      <w:start w:val="1"/>
      <w:numFmt w:val="bullet"/>
      <w:lvlText w:val="˗"/>
      <w:lvlJc w:val="left"/>
      <w:pPr>
        <w:ind w:left="3491" w:hanging="1080"/>
      </w:pPr>
      <w:rPr>
        <w:rFonts w:ascii="Times New Roman" w:hAnsi="Times New Roman" w:cs="Times New Roman" w:hint="default"/>
        <w:b w:val="0"/>
        <w:i w:val="0"/>
        <w:sz w:val="24"/>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5BD40C13"/>
    <w:multiLevelType w:val="multilevel"/>
    <w:tmpl w:val="C6042822"/>
    <w:lvl w:ilvl="0">
      <w:start w:val="1"/>
      <w:numFmt w:val="decimal"/>
      <w:lvlText w:val="%1."/>
      <w:lvlJc w:val="left"/>
      <w:pPr>
        <w:ind w:left="6314" w:hanging="360"/>
      </w:pPr>
      <w:rPr>
        <w:rFonts w:hint="default"/>
        <w:b/>
      </w:rPr>
    </w:lvl>
    <w:lvl w:ilvl="1">
      <w:start w:val="1"/>
      <w:numFmt w:val="decimal"/>
      <w:isLgl/>
      <w:lvlText w:val="%1.%2."/>
      <w:lvlJc w:val="left"/>
      <w:pPr>
        <w:ind w:left="928" w:hanging="360"/>
      </w:pPr>
      <w:rPr>
        <w:rFonts w:hint="default"/>
        <w:b w:val="0"/>
        <w:color w:val="auto"/>
        <w:sz w:val="24"/>
        <w:szCs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color w:val="000000" w:themeColor="text1"/>
      </w:rPr>
    </w:lvl>
    <w:lvl w:ilvl="5">
      <w:start w:val="1"/>
      <w:numFmt w:val="bullet"/>
      <w:lvlText w:val="˗"/>
      <w:lvlJc w:val="left"/>
      <w:pPr>
        <w:ind w:left="3491" w:hanging="1080"/>
      </w:pPr>
      <w:rPr>
        <w:rFonts w:ascii="Times New Roman" w:hAnsi="Times New Roman" w:cs="Times New Roman" w:hint="default"/>
        <w:b w:val="0"/>
        <w:i w:val="0"/>
        <w:sz w:val="24"/>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5F935B09"/>
    <w:multiLevelType w:val="hybridMultilevel"/>
    <w:tmpl w:val="86841630"/>
    <w:lvl w:ilvl="0" w:tplc="831AFFC0">
      <w:start w:val="1"/>
      <w:numFmt w:val="bullet"/>
      <w:lvlText w:val="˗"/>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2E7042"/>
    <w:multiLevelType w:val="hybridMultilevel"/>
    <w:tmpl w:val="D77E98AE"/>
    <w:lvl w:ilvl="0" w:tplc="0398412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BA2C91"/>
    <w:multiLevelType w:val="hybridMultilevel"/>
    <w:tmpl w:val="CB307A8C"/>
    <w:lvl w:ilvl="0" w:tplc="FA16D33A">
      <w:start w:val="1"/>
      <w:numFmt w:val="decimal"/>
      <w:lvlText w:val="3.%1"/>
      <w:lvlJc w:val="left"/>
      <w:pPr>
        <w:ind w:left="1287" w:hanging="360"/>
      </w:pPr>
      <w:rPr>
        <w:rFonts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25D355E"/>
    <w:multiLevelType w:val="multilevel"/>
    <w:tmpl w:val="86FAB310"/>
    <w:lvl w:ilvl="0">
      <w:start w:val="1"/>
      <w:numFmt w:val="decimal"/>
      <w:lvlText w:val="%1."/>
      <w:lvlJc w:val="left"/>
      <w:pPr>
        <w:ind w:left="6314" w:hanging="360"/>
      </w:pPr>
      <w:rPr>
        <w:rFonts w:hint="default"/>
        <w:b/>
      </w:rPr>
    </w:lvl>
    <w:lvl w:ilvl="1">
      <w:start w:val="1"/>
      <w:numFmt w:val="decimal"/>
      <w:isLgl/>
      <w:lvlText w:val="%1.%2."/>
      <w:lvlJc w:val="left"/>
      <w:pPr>
        <w:ind w:left="928" w:hanging="360"/>
      </w:pPr>
      <w:rPr>
        <w:rFonts w:hint="default"/>
        <w:b w:val="0"/>
        <w:color w:val="auto"/>
        <w:sz w:val="24"/>
        <w:szCs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349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6"/>
  </w:num>
  <w:num w:numId="2">
    <w:abstractNumId w:val="1"/>
  </w:num>
  <w:num w:numId="3">
    <w:abstractNumId w:val="5"/>
  </w:num>
  <w:num w:numId="4">
    <w:abstractNumId w:val="7"/>
  </w:num>
  <w:num w:numId="5">
    <w:abstractNumId w:val="3"/>
  </w:num>
  <w:num w:numId="6">
    <w:abstractNumId w:val="4"/>
  </w:num>
  <w:num w:numId="7">
    <w:abstractNumId w:val="0"/>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59"/>
    <w:rsid w:val="00063C66"/>
    <w:rsid w:val="000A292F"/>
    <w:rsid w:val="00286F05"/>
    <w:rsid w:val="002B3670"/>
    <w:rsid w:val="00450959"/>
    <w:rsid w:val="00472E99"/>
    <w:rsid w:val="004B0C3A"/>
    <w:rsid w:val="00504973"/>
    <w:rsid w:val="00513EEA"/>
    <w:rsid w:val="005162D4"/>
    <w:rsid w:val="00716002"/>
    <w:rsid w:val="00750994"/>
    <w:rsid w:val="008E0296"/>
    <w:rsid w:val="00AA7847"/>
    <w:rsid w:val="00AE118E"/>
    <w:rsid w:val="00B13F6A"/>
    <w:rsid w:val="00B20896"/>
    <w:rsid w:val="00BC57F2"/>
    <w:rsid w:val="00EE3F41"/>
    <w:rsid w:val="00F3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6987"/>
  <w15:chartTrackingRefBased/>
  <w15:docId w15:val="{312B323F-415A-40CF-8130-CA5DA4B7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896"/>
    <w:pPr>
      <w:spacing w:before="60" w:after="0" w:line="240" w:lineRule="auto"/>
      <w:ind w:left="958"/>
      <w:jc w:val="both"/>
    </w:pPr>
    <w:rPr>
      <w:rFonts w:ascii="Times New Roman" w:eastAsia="Times New Roman" w:hAnsi="Times New Roman" w:cs="Times New Roman"/>
      <w:sz w:val="24"/>
      <w:szCs w:val="24"/>
      <w:lang w:eastAsia="ru-RU"/>
    </w:rPr>
  </w:style>
  <w:style w:type="paragraph" w:styleId="1">
    <w:name w:val="heading 1"/>
    <w:aliases w:val="s Раздел"/>
    <w:basedOn w:val="a"/>
    <w:next w:val="2"/>
    <w:link w:val="10"/>
    <w:qFormat/>
    <w:rsid w:val="00B20896"/>
    <w:pPr>
      <w:keepNext/>
      <w:keepLines/>
      <w:widowControl w:val="0"/>
      <w:overflowPunct w:val="0"/>
      <w:autoSpaceDE w:val="0"/>
      <w:autoSpaceDN w:val="0"/>
      <w:adjustRightInd w:val="0"/>
      <w:spacing w:before="360" w:after="60"/>
      <w:textAlignment w:val="baseline"/>
      <w:outlineLvl w:val="0"/>
    </w:pPr>
    <w:rPr>
      <w:b/>
      <w:bCs/>
      <w:kern w:val="28"/>
      <w:sz w:val="28"/>
    </w:rPr>
  </w:style>
  <w:style w:type="paragraph" w:styleId="2">
    <w:name w:val="heading 2"/>
    <w:basedOn w:val="a"/>
    <w:next w:val="a"/>
    <w:link w:val="20"/>
    <w:uiPriority w:val="9"/>
    <w:semiHidden/>
    <w:unhideWhenUsed/>
    <w:qFormat/>
    <w:rsid w:val="00B2089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 Раздел Знак"/>
    <w:basedOn w:val="a0"/>
    <w:link w:val="1"/>
    <w:rsid w:val="00B20896"/>
    <w:rPr>
      <w:rFonts w:ascii="Times New Roman" w:eastAsia="Times New Roman" w:hAnsi="Times New Roman" w:cs="Times New Roman"/>
      <w:b/>
      <w:bCs/>
      <w:kern w:val="28"/>
      <w:sz w:val="28"/>
      <w:szCs w:val="24"/>
      <w:lang w:eastAsia="ru-RU"/>
    </w:rPr>
  </w:style>
  <w:style w:type="paragraph" w:styleId="a3">
    <w:name w:val="List Paragraph"/>
    <w:aliases w:val="Bullet_IRAO,Мой Список,List Paragraph"/>
    <w:basedOn w:val="a"/>
    <w:link w:val="a4"/>
    <w:uiPriority w:val="34"/>
    <w:qFormat/>
    <w:rsid w:val="00B20896"/>
    <w:pPr>
      <w:ind w:left="708"/>
    </w:pPr>
  </w:style>
  <w:style w:type="paragraph" w:customStyle="1" w:styleId="S00">
    <w:name w:val="S 00 ТЕКСТ"/>
    <w:basedOn w:val="a"/>
    <w:link w:val="S000"/>
    <w:qFormat/>
    <w:rsid w:val="00B20896"/>
    <w:pPr>
      <w:widowControl w:val="0"/>
      <w:overflowPunct w:val="0"/>
      <w:autoSpaceDE w:val="0"/>
      <w:autoSpaceDN w:val="0"/>
      <w:adjustRightInd w:val="0"/>
      <w:ind w:firstLine="340"/>
      <w:textAlignment w:val="baseline"/>
    </w:pPr>
    <w:rPr>
      <w:szCs w:val="20"/>
    </w:rPr>
  </w:style>
  <w:style w:type="character" w:customStyle="1" w:styleId="S000">
    <w:name w:val="S 00 ТЕКСТ Знак"/>
    <w:link w:val="S00"/>
    <w:rsid w:val="00B20896"/>
    <w:rPr>
      <w:rFonts w:ascii="Times New Roman" w:eastAsia="Times New Roman" w:hAnsi="Times New Roman" w:cs="Times New Roman"/>
      <w:sz w:val="24"/>
      <w:szCs w:val="20"/>
      <w:lang w:eastAsia="ru-RU"/>
    </w:rPr>
  </w:style>
  <w:style w:type="character" w:customStyle="1" w:styleId="a4">
    <w:name w:val="Абзац списка Знак"/>
    <w:aliases w:val="Bullet_IRAO Знак,Мой Список Знак,List Paragraph Знак"/>
    <w:link w:val="a3"/>
    <w:uiPriority w:val="34"/>
    <w:locked/>
    <w:rsid w:val="00B2089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20896"/>
    <w:rPr>
      <w:rFonts w:asciiTheme="majorHAnsi" w:eastAsiaTheme="majorEastAsia" w:hAnsiTheme="majorHAnsi" w:cstheme="majorBidi"/>
      <w:color w:val="2E74B5" w:themeColor="accent1" w:themeShade="BF"/>
      <w:sz w:val="26"/>
      <w:szCs w:val="26"/>
      <w:lang w:eastAsia="ru-RU"/>
    </w:rPr>
  </w:style>
  <w:style w:type="paragraph" w:styleId="a5">
    <w:name w:val="Balloon Text"/>
    <w:basedOn w:val="a"/>
    <w:link w:val="a6"/>
    <w:uiPriority w:val="99"/>
    <w:semiHidden/>
    <w:unhideWhenUsed/>
    <w:rsid w:val="00472E99"/>
    <w:pPr>
      <w:spacing w:before="0"/>
    </w:pPr>
    <w:rPr>
      <w:rFonts w:ascii="Segoe UI" w:hAnsi="Segoe UI" w:cs="Segoe UI"/>
      <w:sz w:val="18"/>
      <w:szCs w:val="18"/>
    </w:rPr>
  </w:style>
  <w:style w:type="character" w:customStyle="1" w:styleId="a6">
    <w:name w:val="Текст выноски Знак"/>
    <w:basedOn w:val="a0"/>
    <w:link w:val="a5"/>
    <w:uiPriority w:val="99"/>
    <w:semiHidden/>
    <w:rsid w:val="00472E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Агеева Лариса Юрьевна</dc:creator>
  <cp:keywords/>
  <dc:description/>
  <cp:lastModifiedBy>Агеева Лариса Юрьевна</cp:lastModifiedBy>
  <cp:revision>3</cp:revision>
  <cp:lastPrinted>2024-09-19T01:41:00Z</cp:lastPrinted>
  <dcterms:created xsi:type="dcterms:W3CDTF">2024-09-23T05:43:00Z</dcterms:created>
  <dcterms:modified xsi:type="dcterms:W3CDTF">2024-09-23T05:51:00Z</dcterms:modified>
</cp:coreProperties>
</file>