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2416D1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598FA242" w14:textId="77777777" w:rsidR="002416D1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ДолжностьДП"/>
                  <w:enabled/>
                  <w:calcOnExit w:val="0"/>
                  <w:textInput>
                    <w:default w:val="АдресатДолжностьДП"/>
                  </w:textInput>
                </w:ffData>
              </w:fldChar>
            </w:r>
            <w:bookmarkStart w:id="0" w:name="АдресатДолжность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0"/>
          </w:p>
          <w:p w14:paraId="328DED90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Организация"/>
                  <w:enabled/>
                  <w:calcOnExit w:val="0"/>
                  <w:textInput>
                    <w:default w:val="АдресатОрганизация"/>
                  </w:textInput>
                </w:ffData>
              </w:fldChar>
            </w:r>
            <w:bookmarkStart w:id="1" w:name="АдресатОрганизация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Руководителю предприятия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"/>
          </w:p>
          <w:p w14:paraId="4CB01055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ИОФамилияДП"/>
                  <w:enabled/>
                  <w:calcOnExit w:val="0"/>
                  <w:textInput>
                    <w:default w:val="АдресатИОФамилияДП"/>
                  </w:textInput>
                </w:ffData>
              </w:fldChar>
            </w:r>
            <w:bookmarkStart w:id="2" w:name="АдресатИОФамилия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2"/>
          </w:p>
          <w:p w14:paraId="2AC29E1E" w14:textId="6441A74E" w:rsidR="0014045B" w:rsidRPr="00A00F04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begin">
                <w:ffData>
                  <w:name w:val="АдресатEmail"/>
                  <w:enabled/>
                  <w:calcOnExit w:val="0"/>
                  <w:textInput>
                    <w:default w:val="АдресатEmail"/>
                  </w:textInput>
                </w:ffData>
              </w:fldChar>
            </w:r>
            <w:bookmarkStart w:id="3" w:name="АдресатEmail"/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noProof/>
                <w:color w:val="2E74B5" w:themeColor="accent1" w:themeShade="BF"/>
                <w:sz w:val="24"/>
                <w:szCs w:val="24"/>
                <w:u w:val="single"/>
              </w:rPr>
              <w:t> </w: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4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4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5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5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00EC6238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На №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НомерДокОсн"/>
                        <w:enabled/>
                        <w:calcOnExit w:val="0"/>
                        <w:textInput>
                          <w:default w:val="НомерДокОсн"/>
                        </w:textInput>
                      </w:ffData>
                    </w:fldChar>
                  </w:r>
                  <w:bookmarkStart w:id="6" w:name="Номер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6"/>
                </w:p>
              </w:tc>
              <w:tc>
                <w:tcPr>
                  <w:tcW w:w="2322" w:type="dxa"/>
                </w:tcPr>
                <w:p w14:paraId="57381635" w14:textId="0ACE829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ДокОсн"/>
                        <w:enabled/>
                        <w:calcOnExit w:val="0"/>
                        <w:textInput>
                          <w:default w:val="ДатаДокОсн"/>
                        </w:textInput>
                      </w:ffData>
                    </w:fldChar>
                  </w:r>
                  <w:bookmarkStart w:id="7" w:name="Дата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7"/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001BA01A" w14:textId="3FF3C071" w:rsidR="00706169" w:rsidRPr="001C7263" w:rsidRDefault="00982263" w:rsidP="00982263">
      <w:pPr>
        <w:tabs>
          <w:tab w:val="left" w:pos="706"/>
        </w:tabs>
        <w:suppressAutoHyphens/>
        <w:spacing w:line="278" w:lineRule="exact"/>
        <w:rPr>
          <w:b/>
          <w:sz w:val="24"/>
          <w:szCs w:val="24"/>
          <w:lang w:eastAsia="ar-SA"/>
        </w:rPr>
      </w:pPr>
      <w:r w:rsidRPr="00982263">
        <w:rPr>
          <w:b/>
          <w:i/>
          <w:iCs/>
          <w:spacing w:val="-4"/>
          <w:sz w:val="24"/>
          <w:szCs w:val="24"/>
          <w:u w:val="single"/>
        </w:rPr>
        <w:t xml:space="preserve">Закупка </w:t>
      </w:r>
      <w:proofErr w:type="spellStart"/>
      <w:r w:rsidRPr="00982263">
        <w:rPr>
          <w:b/>
          <w:i/>
          <w:iCs/>
          <w:spacing w:val="-4"/>
          <w:sz w:val="24"/>
          <w:szCs w:val="24"/>
          <w:u w:val="single"/>
        </w:rPr>
        <w:t>бензокустореза</w:t>
      </w:r>
      <w:proofErr w:type="spellEnd"/>
    </w:p>
    <w:p w14:paraId="4205427E" w14:textId="76EBF9A9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</w:t>
      </w:r>
      <w:r w:rsidR="006D6D55">
        <w:rPr>
          <w:b/>
          <w:spacing w:val="-7"/>
          <w:sz w:val="24"/>
          <w:szCs w:val="24"/>
        </w:rPr>
        <w:t xml:space="preserve"> </w:t>
      </w:r>
      <w:r w:rsidR="0014045B">
        <w:rPr>
          <w:b/>
          <w:sz w:val="24"/>
          <w:szCs w:val="24"/>
        </w:rPr>
        <w:fldChar w:fldCharType="begin">
          <w:ffData>
            <w:name w:val="АдресатИО"/>
            <w:enabled/>
            <w:calcOnExit w:val="0"/>
            <w:textInput>
              <w:default w:val="АдресатИО"/>
            </w:textInput>
          </w:ffData>
        </w:fldChar>
      </w:r>
      <w:bookmarkStart w:id="8" w:name="АдресатИО"/>
      <w:r w:rsidR="0014045B">
        <w:rPr>
          <w:b/>
          <w:sz w:val="24"/>
          <w:szCs w:val="24"/>
        </w:rPr>
        <w:instrText xml:space="preserve"> FORMTEXT </w:instrText>
      </w:r>
      <w:r w:rsidR="0014045B">
        <w:rPr>
          <w:b/>
          <w:sz w:val="24"/>
          <w:szCs w:val="24"/>
        </w:rPr>
      </w:r>
      <w:r w:rsidR="0014045B">
        <w:rPr>
          <w:b/>
          <w:sz w:val="24"/>
          <w:szCs w:val="24"/>
        </w:rPr>
        <w:fldChar w:fldCharType="separate"/>
      </w:r>
      <w:r w:rsidR="0014045B">
        <w:rPr>
          <w:b/>
          <w:noProof/>
          <w:sz w:val="24"/>
          <w:szCs w:val="24"/>
        </w:rPr>
        <w:t>руководитель</w:t>
      </w:r>
      <w:r w:rsidR="0014045B">
        <w:rPr>
          <w:b/>
          <w:sz w:val="24"/>
          <w:szCs w:val="24"/>
        </w:rPr>
        <w:fldChar w:fldCharType="end"/>
      </w:r>
      <w:bookmarkEnd w:id="8"/>
      <w:r w:rsidRPr="00A00F04">
        <w:rPr>
          <w:b/>
          <w:spacing w:val="-7"/>
          <w:sz w:val="24"/>
          <w:szCs w:val="24"/>
        </w:rPr>
        <w:t>!</w:t>
      </w:r>
    </w:p>
    <w:p w14:paraId="567914ED" w14:textId="1BC45B93" w:rsidR="00982263" w:rsidRPr="00D1614A" w:rsidRDefault="00982263" w:rsidP="00662B15">
      <w:pPr>
        <w:ind w:firstLine="567"/>
        <w:jc w:val="both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proofErr w:type="spellStart"/>
      <w:r w:rsidR="00662B15">
        <w:rPr>
          <w:spacing w:val="-2"/>
        </w:rPr>
        <w:t>бензокусторез</w:t>
      </w:r>
      <w:proofErr w:type="spellEnd"/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7E24BD6F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62843665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0527B043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9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9"/>
    <w:p w14:paraId="5EA1BF92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7E3F3DF2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5B385B0F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1C0A28E4" w14:textId="77777777" w:rsidR="00982263" w:rsidRPr="001F18DA" w:rsidRDefault="00982263" w:rsidP="00662B15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4CCF6F85" w14:textId="77777777" w:rsidR="00982263" w:rsidRPr="001F18DA" w:rsidRDefault="00982263" w:rsidP="00662B15">
      <w:pPr>
        <w:shd w:val="clear" w:color="auto" w:fill="FFFFFF"/>
        <w:spacing w:line="276" w:lineRule="auto"/>
        <w:ind w:right="-1" w:firstLine="567"/>
        <w:jc w:val="both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4CF6201A" w14:textId="77777777" w:rsidR="00982263" w:rsidRPr="001F18DA" w:rsidRDefault="00982263" w:rsidP="00662B15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193A56AC" w14:textId="4BCE726A" w:rsidR="00982263" w:rsidRPr="001F18DA" w:rsidRDefault="00982263" w:rsidP="00662B15">
      <w:pPr>
        <w:shd w:val="clear" w:color="auto" w:fill="FFFFFF"/>
        <w:spacing w:line="276" w:lineRule="auto"/>
        <w:ind w:right="-1" w:firstLine="567"/>
        <w:jc w:val="both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</w:t>
      </w:r>
      <w:r w:rsidRPr="00982263">
        <w:rPr>
          <w:b/>
        </w:rPr>
        <w:t xml:space="preserve">срок </w:t>
      </w:r>
      <w:r w:rsidRPr="00982263">
        <w:rPr>
          <w:b/>
          <w:spacing w:val="-2"/>
        </w:rPr>
        <w:t xml:space="preserve">до </w:t>
      </w:r>
      <w:r w:rsidRPr="00982263">
        <w:rPr>
          <w:b/>
          <w:spacing w:val="-2"/>
        </w:rPr>
        <w:t>22</w:t>
      </w:r>
      <w:r w:rsidRPr="00982263">
        <w:rPr>
          <w:b/>
          <w:spacing w:val="-2"/>
        </w:rPr>
        <w:t>.0</w:t>
      </w:r>
      <w:r w:rsidRPr="00982263">
        <w:rPr>
          <w:b/>
          <w:spacing w:val="-2"/>
        </w:rPr>
        <w:t>5</w:t>
      </w:r>
      <w:r w:rsidRPr="00982263">
        <w:rPr>
          <w:b/>
          <w:spacing w:val="-2"/>
        </w:rPr>
        <w:t>.2026г, до 17-</w:t>
      </w:r>
      <w:r w:rsidRPr="006725E4">
        <w:rPr>
          <w:b/>
          <w:spacing w:val="-2"/>
        </w:rPr>
        <w:t>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6E1BB410" w14:textId="77777777" w:rsidR="00982263" w:rsidRPr="001F18DA" w:rsidRDefault="00982263" w:rsidP="00662B15">
      <w:pPr>
        <w:shd w:val="clear" w:color="auto" w:fill="FFFFFF"/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37D7B0C4" w14:textId="77777777" w:rsidR="00982263" w:rsidRPr="001F18DA" w:rsidRDefault="00982263" w:rsidP="00662B15">
      <w:pPr>
        <w:shd w:val="clear" w:color="auto" w:fill="FFFFFF"/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10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0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11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12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2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  <w:bookmarkStart w:id="13" w:name="_GoBack"/>
      <w:bookmarkEnd w:id="13"/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662B1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0D31" w14:textId="77777777" w:rsidR="001E757E" w:rsidRDefault="001E757E" w:rsidP="00911C79">
      <w:r>
        <w:separator/>
      </w:r>
    </w:p>
  </w:endnote>
  <w:endnote w:type="continuationSeparator" w:id="0">
    <w:p w14:paraId="3A8ADEA5" w14:textId="77777777" w:rsidR="001E757E" w:rsidRDefault="001E757E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982263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0НДО-093704</w:t>
    </w:r>
  </w:p>
  <w:p w14:paraId="0D8F79CC" w14:textId="302B1DEA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662B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982263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0НДО-093704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0888" w14:textId="77777777" w:rsidR="001E757E" w:rsidRDefault="001E757E" w:rsidP="00911C79">
      <w:r>
        <w:separator/>
      </w:r>
    </w:p>
  </w:footnote>
  <w:footnote w:type="continuationSeparator" w:id="0">
    <w:p w14:paraId="7181080A" w14:textId="77777777" w:rsidR="001E757E" w:rsidRDefault="001E757E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12" name="Рисунок 12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4045B"/>
    <w:rsid w:val="00161D82"/>
    <w:rsid w:val="001766D9"/>
    <w:rsid w:val="00193206"/>
    <w:rsid w:val="001A0AAA"/>
    <w:rsid w:val="001D20EF"/>
    <w:rsid w:val="001E757E"/>
    <w:rsid w:val="001F1AAC"/>
    <w:rsid w:val="002416D1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871A4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2B15"/>
    <w:rsid w:val="00667BDD"/>
    <w:rsid w:val="0069500E"/>
    <w:rsid w:val="006A008F"/>
    <w:rsid w:val="006A68F2"/>
    <w:rsid w:val="006B5DC1"/>
    <w:rsid w:val="006D6D55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5558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82263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341A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B669-A7F1-4776-8917-F0080545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19</cp:revision>
  <cp:lastPrinted>2015-08-14T03:02:00Z</cp:lastPrinted>
  <dcterms:created xsi:type="dcterms:W3CDTF">2023-01-10T08:55:00Z</dcterms:created>
  <dcterms:modified xsi:type="dcterms:W3CDTF">2026-05-19T10:07:00Z</dcterms:modified>
</cp:coreProperties>
</file>